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64CEA" w:rsidRPr="00D14B06" w14:paraId="633D4483" w14:textId="77777777" w:rsidTr="00A64CE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3E7D038" w14:textId="77777777" w:rsidR="00A64CEA" w:rsidRPr="00D14B06" w:rsidRDefault="00A64CEA" w:rsidP="00A64CEA">
            <w:pPr>
              <w:spacing w:after="0" w:line="240" w:lineRule="atLeast"/>
              <w:rPr>
                <w:rFonts w:eastAsia="Times New Roman" w:cs="Times New Roman"/>
                <w:sz w:val="24"/>
                <w:szCs w:val="24"/>
                <w:lang w:eastAsia="tr-TR"/>
              </w:rPr>
            </w:pPr>
            <w:r w:rsidRPr="00D14B06">
              <w:rPr>
                <w:rFonts w:ascii="Arial" w:eastAsia="Times New Roman" w:hAnsi="Arial" w:cs="Arial"/>
                <w:sz w:val="16"/>
                <w:szCs w:val="16"/>
                <w:lang w:eastAsia="tr-TR"/>
              </w:rPr>
              <w:t>22 Ocak 2022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F2BD11B" w14:textId="77777777" w:rsidR="00A64CEA" w:rsidRPr="00D14B06" w:rsidRDefault="00A64CEA" w:rsidP="00A64CEA">
            <w:pPr>
              <w:spacing w:after="0" w:line="240" w:lineRule="atLeast"/>
              <w:jc w:val="center"/>
              <w:rPr>
                <w:rFonts w:eastAsia="Times New Roman" w:cs="Times New Roman"/>
                <w:sz w:val="24"/>
                <w:szCs w:val="24"/>
                <w:lang w:eastAsia="tr-TR"/>
              </w:rPr>
            </w:pPr>
            <w:r w:rsidRPr="00D14B0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F01CDB3" w14:textId="77777777" w:rsidR="00A64CEA" w:rsidRPr="00D14B06" w:rsidRDefault="00A64CEA" w:rsidP="00A64CEA">
            <w:pPr>
              <w:spacing w:before="100" w:beforeAutospacing="1" w:after="100" w:afterAutospacing="1" w:line="240" w:lineRule="auto"/>
              <w:jc w:val="right"/>
              <w:rPr>
                <w:rFonts w:eastAsia="Times New Roman" w:cs="Times New Roman"/>
                <w:sz w:val="24"/>
                <w:szCs w:val="24"/>
                <w:lang w:eastAsia="tr-TR"/>
              </w:rPr>
            </w:pPr>
            <w:r w:rsidRPr="00D14B06">
              <w:rPr>
                <w:rFonts w:ascii="Arial" w:eastAsia="Times New Roman" w:hAnsi="Arial" w:cs="Arial"/>
                <w:sz w:val="16"/>
                <w:szCs w:val="16"/>
                <w:lang w:eastAsia="tr-TR"/>
              </w:rPr>
              <w:t>Sayı : 31727</w:t>
            </w:r>
          </w:p>
        </w:tc>
      </w:tr>
      <w:tr w:rsidR="00A64CEA" w:rsidRPr="00D14B06" w14:paraId="2AED5B76" w14:textId="77777777" w:rsidTr="00A64CEA">
        <w:trPr>
          <w:trHeight w:val="480"/>
        </w:trPr>
        <w:tc>
          <w:tcPr>
            <w:tcW w:w="8789" w:type="dxa"/>
            <w:gridSpan w:val="3"/>
            <w:tcMar>
              <w:top w:w="0" w:type="dxa"/>
              <w:left w:w="108" w:type="dxa"/>
              <w:bottom w:w="0" w:type="dxa"/>
              <w:right w:w="108" w:type="dxa"/>
            </w:tcMar>
            <w:vAlign w:val="center"/>
            <w:hideMark/>
          </w:tcPr>
          <w:p w14:paraId="407A326D" w14:textId="77777777" w:rsidR="00A64CEA" w:rsidRPr="00D14B06" w:rsidRDefault="00A64CEA" w:rsidP="00A64CEA">
            <w:pPr>
              <w:spacing w:before="100" w:beforeAutospacing="1" w:after="100" w:afterAutospacing="1" w:line="240" w:lineRule="auto"/>
              <w:jc w:val="center"/>
              <w:rPr>
                <w:rFonts w:eastAsia="Times New Roman" w:cs="Times New Roman"/>
                <w:sz w:val="24"/>
                <w:szCs w:val="24"/>
                <w:lang w:eastAsia="tr-TR"/>
              </w:rPr>
            </w:pPr>
            <w:r w:rsidRPr="00D14B06">
              <w:rPr>
                <w:rFonts w:ascii="Arial" w:eastAsia="Times New Roman" w:hAnsi="Arial" w:cs="Arial"/>
                <w:b/>
                <w:bCs/>
                <w:color w:val="000080"/>
                <w:sz w:val="18"/>
                <w:szCs w:val="18"/>
                <w:lang w:eastAsia="tr-TR"/>
              </w:rPr>
              <w:t>KANUN</w:t>
            </w:r>
          </w:p>
        </w:tc>
      </w:tr>
      <w:tr w:rsidR="00A64CEA" w:rsidRPr="00A64CEA" w14:paraId="50EE7FA5" w14:textId="77777777" w:rsidTr="00A64CEA">
        <w:trPr>
          <w:trHeight w:val="480"/>
        </w:trPr>
        <w:tc>
          <w:tcPr>
            <w:tcW w:w="8789" w:type="dxa"/>
            <w:gridSpan w:val="3"/>
            <w:tcMar>
              <w:top w:w="0" w:type="dxa"/>
              <w:left w:w="108" w:type="dxa"/>
              <w:bottom w:w="0" w:type="dxa"/>
              <w:right w:w="108" w:type="dxa"/>
            </w:tcMar>
            <w:vAlign w:val="center"/>
            <w:hideMark/>
          </w:tcPr>
          <w:p w14:paraId="6EDA8BDD" w14:textId="77777777" w:rsidR="00A64CEA" w:rsidRPr="00D14B06" w:rsidRDefault="00A64CEA" w:rsidP="00A64CEA">
            <w:pPr>
              <w:spacing w:after="0" w:line="240" w:lineRule="atLeast"/>
              <w:jc w:val="center"/>
              <w:rPr>
                <w:rFonts w:eastAsia="Times New Roman" w:cs="Times New Roman"/>
                <w:b/>
                <w:bCs/>
                <w:sz w:val="19"/>
                <w:szCs w:val="19"/>
                <w:lang w:eastAsia="tr-TR"/>
              </w:rPr>
            </w:pPr>
            <w:r w:rsidRPr="00D14B06">
              <w:rPr>
                <w:rFonts w:eastAsia="Times New Roman" w:cs="Times New Roman"/>
                <w:b/>
                <w:bCs/>
                <w:sz w:val="18"/>
                <w:szCs w:val="18"/>
                <w:lang w:eastAsia="tr-TR"/>
              </w:rPr>
              <w:t>BİREYSEL EMEKLİLİK TASARRUF VE YATIRIM SİSTEMİ KANUNU İLE</w:t>
            </w:r>
          </w:p>
          <w:p w14:paraId="5134A0DC" w14:textId="77777777" w:rsidR="00A64CEA" w:rsidRPr="00D14B06" w:rsidRDefault="00A64CEA" w:rsidP="00A64CEA">
            <w:pPr>
              <w:spacing w:after="0" w:line="240" w:lineRule="atLeast"/>
              <w:jc w:val="center"/>
              <w:rPr>
                <w:rFonts w:eastAsia="Times New Roman" w:cs="Times New Roman"/>
                <w:b/>
                <w:bCs/>
                <w:sz w:val="19"/>
                <w:szCs w:val="19"/>
                <w:lang w:eastAsia="tr-TR"/>
              </w:rPr>
            </w:pPr>
            <w:r w:rsidRPr="00D14B06">
              <w:rPr>
                <w:rFonts w:eastAsia="Times New Roman" w:cs="Times New Roman"/>
                <w:b/>
                <w:bCs/>
                <w:sz w:val="18"/>
                <w:szCs w:val="18"/>
                <w:lang w:eastAsia="tr-TR"/>
              </w:rPr>
              <w:t>BAZI KANUNLARDA VE 375 SAYILI KANUN HÜKMÜNDE</w:t>
            </w:r>
          </w:p>
          <w:p w14:paraId="6B0BF043" w14:textId="77777777" w:rsidR="00A64CEA" w:rsidRPr="00D14B06" w:rsidRDefault="00A64CEA" w:rsidP="00A64CEA">
            <w:pPr>
              <w:spacing w:after="0" w:line="240" w:lineRule="atLeast"/>
              <w:jc w:val="center"/>
              <w:rPr>
                <w:rFonts w:eastAsia="Times New Roman" w:cs="Times New Roman"/>
                <w:b/>
                <w:bCs/>
                <w:sz w:val="19"/>
                <w:szCs w:val="19"/>
                <w:lang w:eastAsia="tr-TR"/>
              </w:rPr>
            </w:pPr>
            <w:r w:rsidRPr="00D14B06">
              <w:rPr>
                <w:rFonts w:eastAsia="Times New Roman" w:cs="Times New Roman"/>
                <w:b/>
                <w:bCs/>
                <w:sz w:val="18"/>
                <w:szCs w:val="18"/>
                <w:lang w:eastAsia="tr-TR"/>
              </w:rPr>
              <w:t>KARARNAMEDE DEĞİŞİKLİK YAPILMASINA</w:t>
            </w:r>
          </w:p>
          <w:p w14:paraId="440D1A19" w14:textId="77777777" w:rsidR="00A64CEA" w:rsidRPr="00D14B06" w:rsidRDefault="00A64CEA" w:rsidP="00A64CEA">
            <w:pPr>
              <w:spacing w:after="100" w:line="240" w:lineRule="atLeast"/>
              <w:jc w:val="center"/>
              <w:rPr>
                <w:rFonts w:eastAsia="Times New Roman" w:cs="Times New Roman"/>
                <w:b/>
                <w:bCs/>
                <w:sz w:val="19"/>
                <w:szCs w:val="19"/>
                <w:lang w:eastAsia="tr-TR"/>
              </w:rPr>
            </w:pPr>
            <w:r w:rsidRPr="00D14B06">
              <w:rPr>
                <w:rFonts w:eastAsia="Times New Roman" w:cs="Times New Roman"/>
                <w:b/>
                <w:bCs/>
                <w:sz w:val="18"/>
                <w:szCs w:val="18"/>
                <w:lang w:eastAsia="tr-TR"/>
              </w:rPr>
              <w:t>DAİR KANUN</w:t>
            </w:r>
          </w:p>
          <w:tbl>
            <w:tblPr>
              <w:tblW w:w="8222" w:type="dxa"/>
              <w:tblCellMar>
                <w:left w:w="0" w:type="dxa"/>
                <w:right w:w="0" w:type="dxa"/>
              </w:tblCellMar>
              <w:tblLook w:val="04A0" w:firstRow="1" w:lastRow="0" w:firstColumn="1" w:lastColumn="0" w:noHBand="0" w:noVBand="1"/>
            </w:tblPr>
            <w:tblGrid>
              <w:gridCol w:w="3214"/>
              <w:gridCol w:w="5008"/>
            </w:tblGrid>
            <w:tr w:rsidR="00A64CEA" w:rsidRPr="00D14B06" w14:paraId="0D36244D" w14:textId="77777777">
              <w:tc>
                <w:tcPr>
                  <w:tcW w:w="3214" w:type="dxa"/>
                  <w:tcMar>
                    <w:top w:w="0" w:type="dxa"/>
                    <w:left w:w="108" w:type="dxa"/>
                    <w:bottom w:w="0" w:type="dxa"/>
                    <w:right w:w="108" w:type="dxa"/>
                  </w:tcMar>
                  <w:hideMark/>
                </w:tcPr>
                <w:p w14:paraId="45AF1051" w14:textId="77777777" w:rsidR="00A64CEA" w:rsidRPr="00D14B06" w:rsidRDefault="00A64CEA" w:rsidP="00A64CEA">
                  <w:pPr>
                    <w:spacing w:after="170" w:line="240" w:lineRule="atLeast"/>
                    <w:ind w:firstLine="455"/>
                    <w:jc w:val="both"/>
                    <w:rPr>
                      <w:rFonts w:eastAsia="Times New Roman" w:cs="Times New Roman"/>
                      <w:sz w:val="19"/>
                      <w:szCs w:val="19"/>
                      <w:lang w:eastAsia="tr-TR"/>
                    </w:rPr>
                  </w:pPr>
                  <w:r w:rsidRPr="00D14B06">
                    <w:rPr>
                      <w:rFonts w:eastAsia="Times New Roman" w:cs="Times New Roman"/>
                      <w:b/>
                      <w:bCs/>
                      <w:sz w:val="18"/>
                      <w:szCs w:val="18"/>
                      <w:u w:val="single"/>
                      <w:lang w:eastAsia="tr-TR"/>
                    </w:rPr>
                    <w:t>Kanun No. 7351</w:t>
                  </w:r>
                </w:p>
              </w:tc>
              <w:tc>
                <w:tcPr>
                  <w:tcW w:w="5008" w:type="dxa"/>
                  <w:tcMar>
                    <w:top w:w="0" w:type="dxa"/>
                    <w:left w:w="108" w:type="dxa"/>
                    <w:bottom w:w="0" w:type="dxa"/>
                    <w:right w:w="108" w:type="dxa"/>
                  </w:tcMar>
                  <w:hideMark/>
                </w:tcPr>
                <w:p w14:paraId="6811C818" w14:textId="77777777" w:rsidR="00A64CEA" w:rsidRPr="00D14B06" w:rsidRDefault="00A64CEA" w:rsidP="00A64CEA">
                  <w:pPr>
                    <w:spacing w:after="170" w:line="240" w:lineRule="atLeast"/>
                    <w:jc w:val="right"/>
                    <w:rPr>
                      <w:rFonts w:eastAsia="Times New Roman" w:cs="Times New Roman"/>
                      <w:sz w:val="19"/>
                      <w:szCs w:val="19"/>
                      <w:lang w:eastAsia="tr-TR"/>
                    </w:rPr>
                  </w:pPr>
                  <w:r w:rsidRPr="00D14B06">
                    <w:rPr>
                      <w:rFonts w:eastAsia="Times New Roman" w:cs="Times New Roman"/>
                      <w:b/>
                      <w:bCs/>
                      <w:sz w:val="18"/>
                      <w:szCs w:val="18"/>
                      <w:u w:val="single"/>
                      <w:lang w:eastAsia="tr-TR"/>
                    </w:rPr>
                    <w:t>Kabul Tarihi: 19/1/2022</w:t>
                  </w:r>
                </w:p>
              </w:tc>
            </w:tr>
          </w:tbl>
          <w:p w14:paraId="711B60CE"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1 – </w:t>
            </w:r>
            <w:r w:rsidRPr="00D14B06">
              <w:rPr>
                <w:rFonts w:eastAsia="Times New Roman" w:cs="Times New Roman"/>
                <w:sz w:val="18"/>
                <w:szCs w:val="18"/>
                <w:lang w:eastAsia="tr-TR"/>
              </w:rPr>
              <w:t>14/1/1970 tarihli ve 1211 sayılı Türkiye Cumhuriyet Merkez Bankası Kanununun 40 ıncı maddesinin (III) numaralı fıkrasına aşağıdaki bent eklenmiştir.</w:t>
            </w:r>
          </w:p>
          <w:p w14:paraId="425DBFF0"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w:t>
            </w:r>
            <w:proofErr w:type="gramStart"/>
            <w:r w:rsidRPr="00D14B06">
              <w:rPr>
                <w:rFonts w:eastAsia="Times New Roman" w:cs="Times New Roman"/>
                <w:sz w:val="18"/>
                <w:szCs w:val="18"/>
                <w:lang w:eastAsia="tr-TR"/>
              </w:rPr>
              <w:t>c</w:t>
            </w:r>
            <w:proofErr w:type="gramEnd"/>
            <w:r w:rsidRPr="00D14B06">
              <w:rPr>
                <w:rFonts w:eastAsia="Times New Roman" w:cs="Times New Roman"/>
                <w:sz w:val="18"/>
                <w:szCs w:val="18"/>
                <w:lang w:eastAsia="tr-TR"/>
              </w:rPr>
              <w:t>) Banka nezdinde bulunan yabancı ülke merkez bankalarına ait para, alacak, mal, hak ve varlıklar haczedilemez, üzerlerine ihtiyati tedbir veya ihtiyati haciz konulamaz.”</w:t>
            </w:r>
          </w:p>
          <w:p w14:paraId="219932D4"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2 – </w:t>
            </w:r>
            <w:r w:rsidRPr="00D14B06">
              <w:rPr>
                <w:rFonts w:eastAsia="Times New Roman" w:cs="Times New Roman"/>
                <w:sz w:val="18"/>
                <w:szCs w:val="18"/>
                <w:lang w:eastAsia="tr-TR"/>
              </w:rPr>
              <w:t xml:space="preserve">6/1/1982 tarihli ve 2577 sayılı İdari Yargılama Usulü Kanununun </w:t>
            </w:r>
            <w:proofErr w:type="gramStart"/>
            <w:r w:rsidRPr="00D14B06">
              <w:rPr>
                <w:rFonts w:eastAsia="Times New Roman" w:cs="Times New Roman"/>
                <w:sz w:val="18"/>
                <w:szCs w:val="18"/>
                <w:lang w:eastAsia="tr-TR"/>
              </w:rPr>
              <w:t>27 </w:t>
            </w:r>
            <w:proofErr w:type="spellStart"/>
            <w:r w:rsidRPr="00D14B06">
              <w:rPr>
                <w:rFonts w:eastAsia="Times New Roman" w:cs="Times New Roman"/>
                <w:sz w:val="18"/>
                <w:szCs w:val="18"/>
                <w:lang w:eastAsia="tr-TR"/>
              </w:rPr>
              <w:t>nci</w:t>
            </w:r>
            <w:proofErr w:type="spellEnd"/>
            <w:proofErr w:type="gramEnd"/>
            <w:r w:rsidRPr="00D14B06">
              <w:rPr>
                <w:rFonts w:eastAsia="Times New Roman" w:cs="Times New Roman"/>
                <w:sz w:val="18"/>
                <w:szCs w:val="18"/>
                <w:lang w:eastAsia="tr-TR"/>
              </w:rPr>
              <w:t> maddesinin (4) numaralı fıkrasına aşağıdaki cümle eklenmiştir.</w:t>
            </w:r>
          </w:p>
          <w:p w14:paraId="0D3FC44A" w14:textId="77777777" w:rsidR="00A64CEA" w:rsidRPr="00D14B06" w:rsidRDefault="00A64CEA" w:rsidP="00A64CEA">
            <w:pPr>
              <w:spacing w:after="0" w:line="240" w:lineRule="atLeast"/>
              <w:jc w:val="both"/>
              <w:rPr>
                <w:rFonts w:eastAsia="Times New Roman" w:cs="Times New Roman"/>
                <w:sz w:val="19"/>
                <w:szCs w:val="19"/>
                <w:lang w:eastAsia="tr-TR"/>
              </w:rPr>
            </w:pPr>
            <w:r w:rsidRPr="00D14B06">
              <w:rPr>
                <w:rFonts w:eastAsia="Times New Roman" w:cs="Times New Roman"/>
                <w:sz w:val="18"/>
                <w:szCs w:val="18"/>
                <w:lang w:eastAsia="tr-TR"/>
              </w:rPr>
              <w:t>“Vergi kanunları uyarınca iadesi talep edilen vergilere ilişkin olarak açılan davalarda, dava konusu tutarın yüzde ellisi oranında teminat alınmadan yürütmenin durdurulması kararı verilemez.”</w:t>
            </w:r>
          </w:p>
          <w:p w14:paraId="6259F31E"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3 – </w:t>
            </w:r>
            <w:r w:rsidRPr="00D14B06">
              <w:rPr>
                <w:rFonts w:eastAsia="Times New Roman" w:cs="Times New Roman"/>
                <w:sz w:val="18"/>
                <w:szCs w:val="18"/>
                <w:lang w:eastAsia="tr-TR"/>
              </w:rPr>
              <w:t xml:space="preserve">28/3/2001 tarihli ve 4632 sayılı Bireysel Emeklilik Tasarruf ve Yatırım Sistemi Kanununun </w:t>
            </w:r>
            <w:proofErr w:type="gramStart"/>
            <w:r w:rsidRPr="00D14B06">
              <w:rPr>
                <w:rFonts w:eastAsia="Times New Roman" w:cs="Times New Roman"/>
                <w:sz w:val="18"/>
                <w:szCs w:val="18"/>
                <w:lang w:eastAsia="tr-TR"/>
              </w:rPr>
              <w:t>2 </w:t>
            </w:r>
            <w:proofErr w:type="spellStart"/>
            <w:r w:rsidRPr="00D14B06">
              <w:rPr>
                <w:rFonts w:eastAsia="Times New Roman" w:cs="Times New Roman"/>
                <w:sz w:val="18"/>
                <w:szCs w:val="18"/>
                <w:lang w:eastAsia="tr-TR"/>
              </w:rPr>
              <w:t>nci</w:t>
            </w:r>
            <w:proofErr w:type="spellEnd"/>
            <w:proofErr w:type="gramEnd"/>
            <w:r w:rsidRPr="00D14B06">
              <w:rPr>
                <w:rFonts w:eastAsia="Times New Roman" w:cs="Times New Roman"/>
                <w:sz w:val="18"/>
                <w:szCs w:val="18"/>
                <w:lang w:eastAsia="tr-TR"/>
              </w:rPr>
              <w:t> maddesinin birinci fıkrasının (a), (b), (c), (d), (h) ve (ı) bentleri aşağıdaki şekilde değiştirilmiştir.</w:t>
            </w:r>
          </w:p>
          <w:p w14:paraId="2FD0B47E"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w:t>
            </w:r>
            <w:proofErr w:type="gramStart"/>
            <w:r w:rsidRPr="00D14B06">
              <w:rPr>
                <w:rFonts w:eastAsia="Times New Roman" w:cs="Times New Roman"/>
                <w:sz w:val="18"/>
                <w:szCs w:val="18"/>
                <w:lang w:eastAsia="tr-TR"/>
              </w:rPr>
              <w:t>a</w:t>
            </w:r>
            <w:proofErr w:type="gramEnd"/>
            <w:r w:rsidRPr="00D14B06">
              <w:rPr>
                <w:rFonts w:eastAsia="Times New Roman" w:cs="Times New Roman"/>
                <w:sz w:val="18"/>
                <w:szCs w:val="18"/>
                <w:lang w:eastAsia="tr-TR"/>
              </w:rPr>
              <w:t>) Bakanlık: Kurumun ilişkili olduğu Bakanlığı,</w:t>
            </w:r>
          </w:p>
          <w:p w14:paraId="74A92381"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b) Kurum: Sigortacılık ve Özel Emeklilik Düzenleme ve Denetleme Kurumunu,</w:t>
            </w:r>
          </w:p>
          <w:p w14:paraId="17C414FC"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c) Kurul: Sigortacılık ve Özel Emeklilik Düzenleme ve Denetleme Kurulunu,</w:t>
            </w:r>
          </w:p>
          <w:p w14:paraId="5865CA9B"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d) Katılımcı: Emeklilik sözleşmesine göre ad ve hesabına şirket nezdinde bireysel emeklilik hesabı açılan gerçek kişiyi,”</w:t>
            </w:r>
          </w:p>
          <w:p w14:paraId="541A8BF3"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w:t>
            </w:r>
            <w:proofErr w:type="gramStart"/>
            <w:r w:rsidRPr="00D14B06">
              <w:rPr>
                <w:rFonts w:eastAsia="Times New Roman" w:cs="Times New Roman"/>
                <w:sz w:val="18"/>
                <w:szCs w:val="18"/>
                <w:lang w:eastAsia="tr-TR"/>
              </w:rPr>
              <w:t>h</w:t>
            </w:r>
            <w:proofErr w:type="gramEnd"/>
            <w:r w:rsidRPr="00D14B06">
              <w:rPr>
                <w:rFonts w:eastAsia="Times New Roman" w:cs="Times New Roman"/>
                <w:sz w:val="18"/>
                <w:szCs w:val="18"/>
                <w:lang w:eastAsia="tr-TR"/>
              </w:rPr>
              <w:t>) Portföy yöneticisi: Sermaye Piyasası Kurulundan portföy yöneticiliği yetki belgesi almış ve Sermaye Piyasası Kurulunca uygun görülen portföy yönetim şirketini,</w:t>
            </w:r>
          </w:p>
          <w:p w14:paraId="1977DBD8"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ı) Saklayıcı: Emeklilik yatırım fonu portföyündeki varlıkların saklandığı ve Sermaye Piyasası Kurulunca uygun görülen saklama kuruluşunu,”</w:t>
            </w:r>
          </w:p>
          <w:p w14:paraId="2639BCE5"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4 –</w:t>
            </w:r>
            <w:r w:rsidRPr="00D14B06">
              <w:rPr>
                <w:rFonts w:eastAsia="Times New Roman" w:cs="Times New Roman"/>
                <w:sz w:val="18"/>
                <w:szCs w:val="18"/>
                <w:lang w:eastAsia="tr-TR"/>
              </w:rPr>
              <w:t xml:space="preserve"> 4632 sayılı Kanunun </w:t>
            </w:r>
            <w:proofErr w:type="gramStart"/>
            <w:r w:rsidRPr="00D14B06">
              <w:rPr>
                <w:rFonts w:eastAsia="Times New Roman" w:cs="Times New Roman"/>
                <w:sz w:val="18"/>
                <w:szCs w:val="18"/>
                <w:lang w:eastAsia="tr-TR"/>
              </w:rPr>
              <w:t>6 </w:t>
            </w:r>
            <w:proofErr w:type="spellStart"/>
            <w:r w:rsidRPr="00D14B06">
              <w:rPr>
                <w:rFonts w:eastAsia="Times New Roman" w:cs="Times New Roman"/>
                <w:sz w:val="18"/>
                <w:szCs w:val="18"/>
                <w:lang w:eastAsia="tr-TR"/>
              </w:rPr>
              <w:t>ncı</w:t>
            </w:r>
            <w:proofErr w:type="spellEnd"/>
            <w:proofErr w:type="gramEnd"/>
            <w:r w:rsidRPr="00D14B06">
              <w:rPr>
                <w:rFonts w:eastAsia="Times New Roman" w:cs="Times New Roman"/>
                <w:sz w:val="18"/>
                <w:szCs w:val="18"/>
                <w:lang w:eastAsia="tr-TR"/>
              </w:rPr>
              <w:t> maddesinin üçüncü fıkrasının üçüncü ve dördüncü cümleleri aşağıdaki şekilde değiştirilmiş ve fıkraya aşağıdaki cümle eklenmiştir.</w:t>
            </w:r>
          </w:p>
          <w:p w14:paraId="1010655A" w14:textId="77777777" w:rsidR="00A64CEA" w:rsidRPr="00D14B06" w:rsidRDefault="00A64CEA" w:rsidP="00A64CEA">
            <w:pPr>
              <w:spacing w:after="0" w:line="240" w:lineRule="atLeast"/>
              <w:jc w:val="both"/>
              <w:rPr>
                <w:rFonts w:eastAsia="Times New Roman" w:cs="Times New Roman"/>
                <w:sz w:val="19"/>
                <w:szCs w:val="19"/>
                <w:lang w:eastAsia="tr-TR"/>
              </w:rPr>
            </w:pPr>
            <w:r w:rsidRPr="00D14B06">
              <w:rPr>
                <w:rFonts w:eastAsia="Times New Roman" w:cs="Times New Roman"/>
                <w:sz w:val="18"/>
                <w:szCs w:val="18"/>
                <w:lang w:eastAsia="tr-TR"/>
              </w:rPr>
              <w:t>“Ancak Kurumca belirlenen hallerde ve koşullarda katılımcıya sistemden ayrılmadan, Devlet katkısı hesabındaki tutarlar hariç hesabındaki birikim tutarının yüzde ellisine kadar kısmen ödeme yapılabilir. Bu durumda kısmen yapılan ödeme tutarının yüzde </w:t>
            </w:r>
            <w:proofErr w:type="spellStart"/>
            <w:r w:rsidRPr="00D14B06">
              <w:rPr>
                <w:rFonts w:eastAsia="Times New Roman" w:cs="Times New Roman"/>
                <w:sz w:val="18"/>
                <w:szCs w:val="18"/>
                <w:lang w:eastAsia="tr-TR"/>
              </w:rPr>
              <w:t>yirmibeşini</w:t>
            </w:r>
            <w:proofErr w:type="spellEnd"/>
            <w:r w:rsidRPr="00D14B06">
              <w:rPr>
                <w:rFonts w:eastAsia="Times New Roman" w:cs="Times New Roman"/>
                <w:sz w:val="18"/>
                <w:szCs w:val="18"/>
                <w:lang w:eastAsia="tr-TR"/>
              </w:rPr>
              <w:t> aşmamak üzere Devlet katkısı hesabındaki tutardan da ödeme yapılabilir.”</w:t>
            </w:r>
          </w:p>
          <w:p w14:paraId="600CDE19" w14:textId="77777777" w:rsidR="00A64CEA" w:rsidRPr="00D14B06" w:rsidRDefault="00A64CEA" w:rsidP="00A64CEA">
            <w:pPr>
              <w:spacing w:after="0" w:line="240" w:lineRule="atLeast"/>
              <w:jc w:val="both"/>
              <w:rPr>
                <w:rFonts w:eastAsia="Times New Roman" w:cs="Times New Roman"/>
                <w:sz w:val="19"/>
                <w:szCs w:val="19"/>
                <w:lang w:eastAsia="tr-TR"/>
              </w:rPr>
            </w:pPr>
            <w:r w:rsidRPr="00D14B06">
              <w:rPr>
                <w:rFonts w:eastAsia="Times New Roman" w:cs="Times New Roman"/>
                <w:sz w:val="18"/>
                <w:szCs w:val="18"/>
                <w:lang w:eastAsia="tr-TR"/>
              </w:rPr>
              <w:t>“Bu fıkra kapsamında yapılacak işlemlere ilişkin, Devlet katkısına dair uygulamalar dahil olmak üzere, esas ve usuller Bakanlığın uygun görüşü alınarak Kurum tarafından belirlenir.”</w:t>
            </w:r>
          </w:p>
          <w:p w14:paraId="68B14BF5"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5 –</w:t>
            </w:r>
            <w:r w:rsidRPr="00D14B06">
              <w:rPr>
                <w:rFonts w:eastAsia="Times New Roman" w:cs="Times New Roman"/>
                <w:sz w:val="18"/>
                <w:szCs w:val="18"/>
                <w:lang w:eastAsia="tr-TR"/>
              </w:rPr>
              <w:t xml:space="preserve"> 4632 sayılı Kanunun </w:t>
            </w:r>
            <w:proofErr w:type="gramStart"/>
            <w:r w:rsidRPr="00D14B06">
              <w:rPr>
                <w:rFonts w:eastAsia="Times New Roman" w:cs="Times New Roman"/>
                <w:sz w:val="18"/>
                <w:szCs w:val="18"/>
                <w:lang w:eastAsia="tr-TR"/>
              </w:rPr>
              <w:t>17 </w:t>
            </w:r>
            <w:proofErr w:type="spellStart"/>
            <w:r w:rsidRPr="00D14B06">
              <w:rPr>
                <w:rFonts w:eastAsia="Times New Roman" w:cs="Times New Roman"/>
                <w:sz w:val="18"/>
                <w:szCs w:val="18"/>
                <w:lang w:eastAsia="tr-TR"/>
              </w:rPr>
              <w:t>nci</w:t>
            </w:r>
            <w:proofErr w:type="spellEnd"/>
            <w:proofErr w:type="gramEnd"/>
            <w:r w:rsidRPr="00D14B06">
              <w:rPr>
                <w:rFonts w:eastAsia="Times New Roman" w:cs="Times New Roman"/>
                <w:sz w:val="18"/>
                <w:szCs w:val="18"/>
                <w:lang w:eastAsia="tr-TR"/>
              </w:rPr>
              <w:t> maddesinin ikinci fıkrasına aşağıdaki cümle eklenmiştir.</w:t>
            </w:r>
          </w:p>
          <w:p w14:paraId="74BBDEE7" w14:textId="77777777" w:rsidR="00A64CEA" w:rsidRPr="00D14B06" w:rsidRDefault="00A64CEA" w:rsidP="00A64CEA">
            <w:pPr>
              <w:spacing w:after="0" w:line="240" w:lineRule="atLeast"/>
              <w:jc w:val="both"/>
              <w:rPr>
                <w:rFonts w:eastAsia="Times New Roman" w:cs="Times New Roman"/>
                <w:sz w:val="19"/>
                <w:szCs w:val="19"/>
                <w:lang w:eastAsia="tr-TR"/>
              </w:rPr>
            </w:pPr>
            <w:r w:rsidRPr="00D14B06">
              <w:rPr>
                <w:rFonts w:eastAsia="Times New Roman" w:cs="Times New Roman"/>
                <w:sz w:val="18"/>
                <w:szCs w:val="18"/>
                <w:lang w:eastAsia="tr-TR"/>
              </w:rPr>
              <w:t xml:space="preserve">“11/1/2011 tarihli ve 6098 sayılı Türk </w:t>
            </w:r>
            <w:proofErr w:type="gramStart"/>
            <w:r w:rsidRPr="00D14B06">
              <w:rPr>
                <w:rFonts w:eastAsia="Times New Roman" w:cs="Times New Roman"/>
                <w:sz w:val="18"/>
                <w:szCs w:val="18"/>
                <w:lang w:eastAsia="tr-TR"/>
              </w:rPr>
              <w:t>Borçlar Kanununun</w:t>
            </w:r>
            <w:proofErr w:type="gramEnd"/>
            <w:r w:rsidRPr="00D14B06">
              <w:rPr>
                <w:rFonts w:eastAsia="Times New Roman" w:cs="Times New Roman"/>
                <w:sz w:val="18"/>
                <w:szCs w:val="18"/>
                <w:lang w:eastAsia="tr-TR"/>
              </w:rPr>
              <w:t xml:space="preserve"> ilgili hükümlerine göre bireysel emeklilik sözleşmelerinin yahut bu sözleşmelerden kaynaklı alacağın devredilmesi durumunda, 5 inci ve 6 </w:t>
            </w:r>
            <w:proofErr w:type="spellStart"/>
            <w:r w:rsidRPr="00D14B06">
              <w:rPr>
                <w:rFonts w:eastAsia="Times New Roman" w:cs="Times New Roman"/>
                <w:sz w:val="18"/>
                <w:szCs w:val="18"/>
                <w:lang w:eastAsia="tr-TR"/>
              </w:rPr>
              <w:t>ncı</w:t>
            </w:r>
            <w:proofErr w:type="spellEnd"/>
            <w:r w:rsidRPr="00D14B06">
              <w:rPr>
                <w:rFonts w:eastAsia="Times New Roman" w:cs="Times New Roman"/>
                <w:sz w:val="18"/>
                <w:szCs w:val="18"/>
                <w:lang w:eastAsia="tr-TR"/>
              </w:rPr>
              <w:t> maddelerde belirtilen hakların kullanımı ile söz konusu uygulamaya ilişkin diğer esas ve usuller Kurum tarafından belirlenir.”</w:t>
            </w:r>
          </w:p>
          <w:p w14:paraId="66632925"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6 – </w:t>
            </w:r>
            <w:r w:rsidRPr="00D14B06">
              <w:rPr>
                <w:rFonts w:eastAsia="Times New Roman" w:cs="Times New Roman"/>
                <w:sz w:val="18"/>
                <w:szCs w:val="18"/>
                <w:lang w:eastAsia="tr-TR"/>
              </w:rPr>
              <w:t>4632 sayılı Kanunun ek 1 inci maddesinin birinci fıkrası aşağıdaki şekilde değiştirilmiş, dördüncü fıkrasında yer alan “veya katılımcılara yapılacak Devlet katkısı ödemesine mahsup edilebilir. Hak kazanılmayan tutarlarla ilgili mahsuplaşma işlemleri ile bu işlemlerin gerçekleştirilme sürelerine ilişkin esas ve usuller Maliye Bakanlığının görüşü alınarak Müsteşarlıkça belirlenir” ibaresi madde metninden çıkarılmış, fıkrada yer alan “Müsteşarlığa” ibaresi “Bakanlığa” şeklinde, “Müsteşarlıkça” ibaresi “Bakanlığın uygun görüşüyle, Kurumca” şeklinde, altıncı fıkrasında yer alan “Müsteşarlığa” ibaresi “Bakanlığa” şeklinde, sekizinci fıkrasında yer alan “Müsteşarlıkça emeklilik” ibaresi “Bakanlıkça emeklilik” şeklinde, “Müsteşarlıkça tanımlanan” ibaresi “Kurumca tanımlanan” şeklinde, “için Müsteşarlıkça emeklilik” ibaresi “için Bakanlıkça veya Kurumca emeklilik” şeklinde, dokuzuncu fıkrasında yer alan “Müsteşarlıkça” ibareleri “Bakanlıkça” şeklinde değiştirilmiş ve maddeye aşağıdaki fıkra eklenmiştir.</w:t>
            </w:r>
          </w:p>
          <w:p w14:paraId="052E5992"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 xml:space="preserve">“İşveren tarafından ödenenler hariç Türkiye Cumhuriyeti vatandaşı katılımcılar ile 5901 sayılı Kanunun 28 inci maddesi kapsamındaki katılımcılar adına bireysel emeklilik hesabına ödenen katkı paylarının yüzde otuzuna karşılık gelen tutar, şirketler tarafından emeklilik gözetim merkezine iletilen bilgiler esas alınarak Devlet katkısı olarak emeklilik gözetim merkezince hesaplanır. Cumhurbaşkanı, yabancı para cinsinden yapılan katkı payı ödemeleri için bu oranı yüzde ona kadar indirmeye yetkilidir. Devlet katkısı, Bakanlık bütçesine konulan ödenekten katılımcıların ilgili hesaplarına şirketler aracılığıyla aktarılmak üzere emeklilik gözetim merkezine ödenir. Bir katılımcı için bir takvim yılında ödenen ve Devlet katkısı tutarının hesaplanmasına esas teşkil eden katkı paylarının toplamı ilgili takvim yılına ait hesaplamaya ilişkin dönemin sona erdiği tarihte geçerli brüt asgari ücretin hesaplama dönemine isabet eden toplam </w:t>
            </w:r>
            <w:r w:rsidRPr="00D14B06">
              <w:rPr>
                <w:rFonts w:eastAsia="Times New Roman" w:cs="Times New Roman"/>
                <w:sz w:val="18"/>
                <w:szCs w:val="18"/>
                <w:lang w:eastAsia="tr-TR"/>
              </w:rPr>
              <w:lastRenderedPageBreak/>
              <w:t>tutarını aşamaz. Şu kadar ki, anılan sınırı aşan katkı payları için, Bakanlığın uygun görüşüyle, Kurumca belirlenecek usul ve esaslar çerçevesinde, ilgili katkı payının ödendiği yılı takip eden takvim yıllarında da Devlet katkısı hesaplaması ve ödemesi yapılabilir. Bu ödenekten bütçenin diğer kalemlerine hiçbir şekilde aktarma yapılamaz. Devlet katkısı, katkı payı ödemelerinden ayrı olarak takip edilir.”</w:t>
            </w:r>
          </w:p>
          <w:p w14:paraId="5E2EE372"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“Bu madde çerçevesinde, Bakanlık hesabına emeklilik şirketlerince yapılan ödemelerden, ilgili mevzuatında belirlenen usul ve esaslar dahilinde fazla veya yersiz ödendiği tespit edilenler, Bakanlık bütçesine konulan ödenekten emeklilik şirketlerinin ilgili hesaplarına aktarılmak üzere emeklilik gözetim merkezine ödenir. Fazladan ödenen tutarlar için ayrıca faiz ödenmez.”</w:t>
            </w:r>
          </w:p>
          <w:p w14:paraId="47D8691A"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7 – </w:t>
            </w:r>
            <w:r w:rsidRPr="00D14B06">
              <w:rPr>
                <w:rFonts w:eastAsia="Times New Roman" w:cs="Times New Roman"/>
                <w:sz w:val="18"/>
                <w:szCs w:val="18"/>
                <w:lang w:eastAsia="tr-TR"/>
              </w:rPr>
              <w:t>4632 sayılı Kanunun ek 2 </w:t>
            </w:r>
            <w:proofErr w:type="spellStart"/>
            <w:r w:rsidRPr="00D14B06">
              <w:rPr>
                <w:rFonts w:eastAsia="Times New Roman" w:cs="Times New Roman"/>
                <w:sz w:val="18"/>
                <w:szCs w:val="18"/>
                <w:lang w:eastAsia="tr-TR"/>
              </w:rPr>
              <w:t>nci</w:t>
            </w:r>
            <w:proofErr w:type="spellEnd"/>
            <w:r w:rsidRPr="00D14B06">
              <w:rPr>
                <w:rFonts w:eastAsia="Times New Roman" w:cs="Times New Roman"/>
                <w:sz w:val="18"/>
                <w:szCs w:val="18"/>
                <w:lang w:eastAsia="tr-TR"/>
              </w:rPr>
              <w:t> maddesinin birinci fıkrasında yer alan “Müsteşarlıkça” ibaresi “Kurumca” şeklinde değiştirilmiş ve fıkraya birinci cümlesinden sonra gelmek üzere aşağıdaki cümle eklenmiş, beşinci fıkrasında yer alan “Müsteşarlık” ibaresi “Bakanlığın uygun görüşüyle, Kurum” şeklinde, “Müsteşarlıkça” ibaresi “Bakanlığın uygun görüşüyle, Kurumca” şeklinde, yedinci fıkrasında yer alan “Bakan” ibaresi “Bakanlığın uygun görüşüyle, Kurul” şeklinde, “Müsteşarlığın” ibaresi “Bakanlığın uygun görüşüyle, Kurumun” şeklinde değiştirilmiş, fıkrada yer alan “güvenli” ibaresi madde metninden çıkarılmış ve sekizinci fıkrasında yer alan “Müsteşarlık” ibaresi “Bakanlığın uygun görüşüyle, Kurum” şeklinde değiştirilmiştir.</w:t>
            </w:r>
          </w:p>
          <w:p w14:paraId="5444D85F" w14:textId="77777777" w:rsidR="00A64CEA" w:rsidRPr="00D14B06" w:rsidRDefault="00A64CEA" w:rsidP="00A64CEA">
            <w:pPr>
              <w:spacing w:after="0" w:line="240" w:lineRule="atLeast"/>
              <w:jc w:val="both"/>
              <w:rPr>
                <w:rFonts w:eastAsia="Times New Roman" w:cs="Times New Roman"/>
                <w:sz w:val="19"/>
                <w:szCs w:val="19"/>
                <w:lang w:eastAsia="tr-TR"/>
              </w:rPr>
            </w:pPr>
            <w:r w:rsidRPr="00D14B06">
              <w:rPr>
                <w:rFonts w:eastAsia="Times New Roman" w:cs="Times New Roman"/>
                <w:sz w:val="18"/>
                <w:szCs w:val="18"/>
                <w:lang w:eastAsia="tr-TR"/>
              </w:rPr>
              <w:t>“Kırk beş yaşını doldurmuş çalışanlar, talep etmeleri halinde anılan planlara dahil edilebilir.”</w:t>
            </w:r>
          </w:p>
          <w:p w14:paraId="702D8AC0"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8 – </w:t>
            </w:r>
            <w:r w:rsidRPr="00D14B06">
              <w:rPr>
                <w:rFonts w:eastAsia="Times New Roman" w:cs="Times New Roman"/>
                <w:sz w:val="18"/>
                <w:szCs w:val="18"/>
                <w:lang w:eastAsia="tr-TR"/>
              </w:rPr>
              <w:t>4632 sayılı Kanunun, bu maddeyi ihdas eden Kanunla yapılan değişiklikleri saklı kalmak kaydıyla, anılan Kanunda yer alan “Müsteşarlık” ibareleri “Kurum” şeklinde, “Müsteşarlıkça” ibareleri “Kurumca” şeklinde, “Müsteşarlığın” ibareleri “Kurumun” şeklinde, “Müsteşarlığa” ibareleri “Kuruma” şeklinde, “Bakan” ibareleri “Kurul” şeklinde, “Bakanlığın” ibareleri “Kurulun” şeklinde, “Kurulca” ibareleri “Sermaye Piyasası Kurulunca” şeklinde, “Kurul” ibareleri “Sermaye Piyasası Kurulu” şeklinde, “Kurulun” ibareleri “Sermaye Piyasası Kurulunun” şeklinde, “Kurula” ibareleri “Sermaye Piyasası Kuruluna” şeklinde, “Sigortacılık ve Özel Emeklilik Düzenleme ve Denetleme Kurumunca” ibaresi “Kurumca” şeklinde ve “Sigortacılık ve Özel Emeklilik Düzenleme ve Denetleme Kurumu” ibaresi “Kurum” şeklinde değiştirilmiştir.</w:t>
            </w:r>
          </w:p>
          <w:p w14:paraId="1E30EA94"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9 –</w:t>
            </w:r>
            <w:r w:rsidRPr="00D14B06">
              <w:rPr>
                <w:rFonts w:eastAsia="Times New Roman" w:cs="Times New Roman"/>
                <w:sz w:val="18"/>
                <w:szCs w:val="18"/>
                <w:lang w:eastAsia="tr-TR"/>
              </w:rPr>
              <w:t> 4632 sayılı Kanuna aşağıdaki geçici madde eklenmiştir.</w:t>
            </w:r>
          </w:p>
          <w:p w14:paraId="55A3E8EF"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“GEÇİCİ MADDE 5 – Ek 1 inci madde kapsamında, yabancı para cinsinden yapılan katkı payı ödemeleri hariç olmak üzere, Devlet katkısına konu katkı paylarının; bu maddenin yürürlük tarihinden önce şirket hesaplarına intikal edenler için yüzde </w:t>
            </w:r>
            <w:proofErr w:type="spellStart"/>
            <w:r w:rsidRPr="00D14B06">
              <w:rPr>
                <w:rFonts w:eastAsia="Times New Roman" w:cs="Times New Roman"/>
                <w:sz w:val="18"/>
                <w:szCs w:val="18"/>
                <w:lang w:eastAsia="tr-TR"/>
              </w:rPr>
              <w:t>yirmibeşine</w:t>
            </w:r>
            <w:proofErr w:type="spellEnd"/>
            <w:r w:rsidRPr="00D14B06">
              <w:rPr>
                <w:rFonts w:eastAsia="Times New Roman" w:cs="Times New Roman"/>
                <w:sz w:val="18"/>
                <w:szCs w:val="18"/>
                <w:lang w:eastAsia="tr-TR"/>
              </w:rPr>
              <w:t> ve yürürlük tarihinden sonra şirket hesaplarına intikal edenler için ise yüzde otuzuna karşılık gelen tutar, bireysel emeklilik sözleşmelerinde herhangi bir tadil işlemine gerek kalmaksızın, Devlet katkısı olarak hesaplanmaya devam eder.”</w:t>
            </w:r>
          </w:p>
          <w:p w14:paraId="0C2C095F"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10 – </w:t>
            </w:r>
            <w:r w:rsidRPr="00D14B06">
              <w:rPr>
                <w:rFonts w:eastAsia="Times New Roman" w:cs="Times New Roman"/>
                <w:sz w:val="18"/>
                <w:szCs w:val="18"/>
                <w:lang w:eastAsia="tr-TR"/>
              </w:rPr>
              <w:t>18/4/2001 tarihli ve 4646 sayılı Doğal Gaz Piyasası Kanununun 11 inci maddesine aşağıdaki fıkra eklenmiştir.</w:t>
            </w:r>
          </w:p>
          <w:p w14:paraId="10702E3F"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“BOTAŞ tarafından Bakanlık görüşü alınmak kaydı ile bölgesel ve iklimsel koşullar dikkate alınarak il veya bölge bazında kademeli doğal gaz satış fiyatı uygulanabilir.”</w:t>
            </w:r>
          </w:p>
          <w:p w14:paraId="3AAAEB39"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11 – </w:t>
            </w:r>
            <w:r w:rsidRPr="00D14B06">
              <w:rPr>
                <w:rFonts w:eastAsia="Times New Roman" w:cs="Times New Roman"/>
                <w:sz w:val="18"/>
                <w:szCs w:val="18"/>
                <w:lang w:eastAsia="tr-TR"/>
              </w:rPr>
              <w:t>5/1/2002 tarihli ve 4735 sayılı Kamu İhale Sözleşmeleri Kanununa aşağıdaki geçici madde eklenmiştir.</w:t>
            </w:r>
          </w:p>
          <w:p w14:paraId="4A0EB65C"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“Ek fiyat farkı ve/veya sözleşmelerin devri</w:t>
            </w:r>
          </w:p>
          <w:p w14:paraId="3176BA4B"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GEÇİCİ MADDE 5 – Ülkemizde ve dünyada hammadde temininde ve tedarik zincirlerinde yaşanan aksaklıklar ile girdi fiyatlarındaki beklenmeyen artışlar nedeniyle 1/12/2021 tarihinden önce 4734 sayılı Kanuna göre ihalesi yapılan ve bu maddenin yürürlüğe girdiği tarih itibarıyla devam eden veya bu maddenin yürürlüğe girdiği tarihten önce fesih veya tasfiye edilmeksizin kabulü/geçici kabulü yapılan mal ve hizmet alımları ile yapım işlerine ilişkin Türk lirası üzerinden yapılan sözleşmelerde, 1/7/2021 ile 31/12/2021 tarihleri arasında (bu tarihler dâhil) gerçekleştirilen kısımlar için, ihale dokümanında fiyat farkı verilmesine ilişkin hüküm bulunup bulunmadığına bakılmaksızın, 1/7/2021 ile 30/11/2021 tarihleri arasında (bu tarihler dâhil) ihalesi yapılan işlerde ihale tarihinin (son teklif verme tarihi) içinde bulunduğu aya ait endeks, 1/7/2021 tarihinden önce ihale edilen işlerde ise 2021 yılı Haziran ayına ait endeks temel endeks olarak kabul edilerek ve sözleşme fiyatları kullanılarak yüklenicinin başvurusu üzerine sözleşmesine göre hesaplanan fiyat farkına ilave olarak ek fiyat farkı verilebilir.</w:t>
            </w:r>
          </w:p>
          <w:p w14:paraId="32D5A50A"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Ayrıca bu kapsamdaki sözleşmeler, yüklenicinin başvurusu ve idarenin onayı ile devredilebilir. Devredilen sözleşmelerde devir alacaklarda ilk ihaledeki şartlar, devir tarihi itibarıyla aranacak olup devirden kaynaklanan kısıtlama ve yaptırımlar uygulanmaz. Yüklenimi ortak girişim tarafından yürütülen sözleşmelerde ortaklar arasında devir veya hisse devirlerinde ilk ihaledeki yeterlik şartları aranmaz. Sözleşmeyi devreden yüklenicinin teminatı iade edilir. Bu kapsamda devredilecek sözleşmelerden damga vergisi alınmaz.</w:t>
            </w:r>
          </w:p>
          <w:p w14:paraId="492949A6"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Sözleşmenin bu madde kapsamında devredilmesi durumunda birinci fıkra hükmü saklı kalmak üzere yüklenici devir tarihine kadar gerçekleştirdiği işler ya da imalatlar dışında idareden herhangi bir mali hak talebinde bulunamaz. Yüklenici tarafından idarece uygun görülecek can ve mal güvenliği ile yapı güvenliğine yönelik tedbirlerin alınması şarttır.</w:t>
            </w:r>
          </w:p>
          <w:p w14:paraId="4FFB370D"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Bu madde kapsamında ek fiyat farkı verilebilecek alım türlerini, ürün ve girdileri, ek fiyat farkı verilmesi veya sözleşmenin devri için idareye başvuru süreleri ile devir işlemlerinin tamamlanacağı süre dâhil ek fiyat farkı hesaplamalarına ve sözleşmelerin devrine ilişkin esas ve usulleri tespite Cumhurbaşkanı yetkilidir.</w:t>
            </w:r>
          </w:p>
          <w:p w14:paraId="737BCE14"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Toplu Konut İdaresi Başkanlığı tarafından birinci fıkrada sayılan nedenlerle, 1/12/2021 tarihinden önce ihale edilen ve bu maddenin yürürlüğe girdiği tarihte devam eden sözleşmelerle ilgili olarak; 1/7/2021 tarihi ile 31/12/2021 tarihleri arasındaki iş programına göre gerçekleştirilemeyen iş miktarı için süre uzatımı ve fiyat farkı verilmesine yönelik Cumhurbaşkanı tarafından düzenlemeler yapılabilir.</w:t>
            </w:r>
          </w:p>
          <w:p w14:paraId="6F9DC5BB"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4734 sayılı Kanundan istisna edilen mal ve hizmet alımları ile yapım işlerinden Türk lirası üzerinden yapılan sözleşmeler için idareler tarafından bu maddeye uygun olarak ilgili mevzuatında düzenleme yapılabilir.</w:t>
            </w:r>
          </w:p>
          <w:p w14:paraId="12B78981"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Kamu kurumu niteliğinde meslek kuruluşları ve üst birliklerinin taraf olduğu veya bu kuruluş veya birliklerin kaynaklarıyla karşılanan mal ve hizmet alımı ile yapım işlerine ilişkin Türk lirası üzerinden yapılan sözleşmelerde, bu maddeye göre fiyat farkı ödenebilmesine yönelik ilgili kuruluş veya üst birliğin mevzuatında düzenleme yapılabilir.”</w:t>
            </w:r>
          </w:p>
          <w:p w14:paraId="2622C300"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12 – </w:t>
            </w:r>
            <w:r w:rsidRPr="00D14B06">
              <w:rPr>
                <w:rFonts w:eastAsia="Times New Roman" w:cs="Times New Roman"/>
                <w:sz w:val="18"/>
                <w:szCs w:val="18"/>
                <w:lang w:eastAsia="tr-TR"/>
              </w:rPr>
              <w:t>28/3/2002 tarihli ve 4749 sayılı Kamu Finansmanı ve Borç Yönetiminin Düzenlenmesi Hakkında Kanuna aşağıdaki geçici madde eklenmiştir.</w:t>
            </w:r>
          </w:p>
          <w:p w14:paraId="1E9FA620"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“GEÇİCİ MADDE 35 – Finansal istikrara katkı sağlamak ve gerçek kişilerin mevduat ve katılma hesaplarının getirilerini kur artışlarına karşı desteklemek amacıyla bankalar nezdinde 21/12/2021 ve 31/12/2022 tarihleri arasında açılan Türk lirası vadeli mevduat ve katılma hesaplarına aktarılmak üzere Türkiye Cumhuriyet Merkez Bankasına nakit kaynak aktarmaya ve nakit kaynak aktarımı için Bakanlık bütçesinde mevcut ya da yeni açılacak tertiplere ödenek eklemeye Hazine ve Maliye Bakanı yetkilidir.</w:t>
            </w:r>
          </w:p>
          <w:p w14:paraId="6DB4EC45"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Bu madde kapsamında ödenecek destek tutarını ve hesaplama yöntemini, destekten yararlanacak gerçek kişi kapsamını, hesap türlerini, vadeleri, limitleri, hesapların vadeden önce kapatılması durumunda yapılabilecek kesintiler ile bu kesintilerin Hazine ve Maliye Bakanlığına aktarılmasını, bu madde kapsamında destek olarak aktarılacak kaynağın kullandırılması ile uygulamaya ve denetime ilişkin usul ve esasları belirlemeye Cumhurbaşkanı yetkilidir.</w:t>
            </w:r>
          </w:p>
          <w:p w14:paraId="50D8FA51"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Birinci fıkrada yer alan nihai hesap açma tarihini öne çekmeye veya 31/12/2023 tarihine kadar uzatmaya Cumhurbaşkanı yetkilidir.</w:t>
            </w:r>
          </w:p>
          <w:p w14:paraId="2F07DAF4"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Hazine ve Maliye Bakanlığı, bu maddenin uygulanması kapsamında Türkiye Cumhuriyet Merkez Bankası ve bankalardan gerekli veri ve bilgiyi talep edebilir. Türkiye Cumhuriyet Merkez Bankası veya bankalar talep edilen veri ve bilgiyi Hazine ve Maliye Bakanlığının belirleyeceği şekil ve süreler içerisinde vermekle yükümlü olup, veri ve bilginin birinci fıkrada belirtilen amaç çerçevesinde Hazine ve Maliye Bakanlığına verilmesinde diğer kanunlardaki yasaklayıcı ve sınırlayıcı hükümler uygulanmaz.</w:t>
            </w:r>
          </w:p>
          <w:p w14:paraId="5B67A133"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Bu madde kapsamında Türkiye Cumhuriyet Merkez Bankası tarafından aktarılacak desteğin hak sahipliğinin tespiti ile desteğin doğru ve tam hesaplanmasından, Türk lirası vadeli mevduat ve katılma hesaplarının açıldığı banka sorumludur. Haksız olarak verildiği tespit edilen destek tutarı, bankaya ödendiği tarihten tahsil edildiği tarihe kadar 6183 sayılı Kanunun 51 inci maddesine göre hesaplanacak gecikme zammıyla birlikte anılan Kanun hükümlerine göre tahsil edilir.”</w:t>
            </w:r>
          </w:p>
          <w:p w14:paraId="31A00436"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13 – </w:t>
            </w:r>
            <w:r w:rsidRPr="00D14B06">
              <w:rPr>
                <w:rFonts w:eastAsia="Times New Roman" w:cs="Times New Roman"/>
                <w:sz w:val="18"/>
                <w:szCs w:val="18"/>
                <w:lang w:eastAsia="tr-TR"/>
              </w:rPr>
              <w:t>31/5/2006 tarihli ve 5510 sayılı Sosyal Sigortalar ve Genel Sağlık Sigortası Kanununun ek 19 uncu maddesinin birinci fıkrasında yer alan “1.500” ibaresi “2.500” şeklinde değiştirilmiştir.</w:t>
            </w:r>
          </w:p>
          <w:p w14:paraId="62CE478F"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14 – </w:t>
            </w:r>
            <w:r w:rsidRPr="00D14B06">
              <w:rPr>
                <w:rFonts w:eastAsia="Times New Roman" w:cs="Times New Roman"/>
                <w:sz w:val="18"/>
                <w:szCs w:val="18"/>
                <w:lang w:eastAsia="tr-TR"/>
              </w:rPr>
              <w:t>13/6/2006 tarihli ve 5520 sayılı Kurumlar Vergisi Kanununun 5 inci maddesinin birinci fıkrasının (a) bendine aşağıdaki alt bent eklenmiş ve bendin son cümlesi aşağıdaki şekilde değiştirilmiştir.</w:t>
            </w:r>
          </w:p>
          <w:p w14:paraId="1E9C1EC7"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“4) Tam mükellefiyete tabi diğer yatırım fonu katılma paylarından elde ettikleri kâr payları (portföyünde yabancı para birimi cinsinden varlık ve altın ile diğer kıymetli madenler ve bunlara dayalı sermaye piyasası araçları bulunan yatırım fonlarından elde edilen kazançlar hariç).”</w:t>
            </w:r>
          </w:p>
          <w:p w14:paraId="66558C5C"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“Diğer yatırım ortaklıklarının hisse senetlerinden elde edilen kâr payları bu istisnadan yararlanamaz.”</w:t>
            </w:r>
          </w:p>
          <w:p w14:paraId="7AF69DFA"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15 – </w:t>
            </w:r>
            <w:r w:rsidRPr="00D14B06">
              <w:rPr>
                <w:rFonts w:eastAsia="Times New Roman" w:cs="Times New Roman"/>
                <w:sz w:val="18"/>
                <w:szCs w:val="18"/>
                <w:lang w:eastAsia="tr-TR"/>
              </w:rPr>
              <w:t xml:space="preserve">5520 sayılı Kanunun </w:t>
            </w:r>
            <w:proofErr w:type="gramStart"/>
            <w:r w:rsidRPr="00D14B06">
              <w:rPr>
                <w:rFonts w:eastAsia="Times New Roman" w:cs="Times New Roman"/>
                <w:sz w:val="18"/>
                <w:szCs w:val="18"/>
                <w:lang w:eastAsia="tr-TR"/>
              </w:rPr>
              <w:t>32 </w:t>
            </w:r>
            <w:proofErr w:type="spellStart"/>
            <w:r w:rsidRPr="00D14B06">
              <w:rPr>
                <w:rFonts w:eastAsia="Times New Roman" w:cs="Times New Roman"/>
                <w:sz w:val="18"/>
                <w:szCs w:val="18"/>
                <w:lang w:eastAsia="tr-TR"/>
              </w:rPr>
              <w:t>nci</w:t>
            </w:r>
            <w:proofErr w:type="spellEnd"/>
            <w:proofErr w:type="gramEnd"/>
            <w:r w:rsidRPr="00D14B06">
              <w:rPr>
                <w:rFonts w:eastAsia="Times New Roman" w:cs="Times New Roman"/>
                <w:sz w:val="18"/>
                <w:szCs w:val="18"/>
                <w:lang w:eastAsia="tr-TR"/>
              </w:rPr>
              <w:t> maddesine aşağıdaki fıkralar eklenmiştir.</w:t>
            </w:r>
          </w:p>
          <w:p w14:paraId="621789FC"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“(7) İhracat yapan kurumların münhasıran ihracattan elde ettikleri kazançlarına kurumlar vergisi oranı 1 puan indirimli uygulanır.</w:t>
            </w:r>
          </w:p>
          <w:p w14:paraId="3C1586A7"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(8) Sanayi sicil belgesini haiz ve fiilen üretim faaliyetiyle iştigal eden kurumların münhasıran üretim faaliyetinden elde ettikleri kazançlarına kurumlar vergisi oranı 1 puan indirimli uygulanır. Bu kazançların ihracata isabet eden kısmı için yedinci fıkra hükmüne göre ayrıca indirim uygulanmaz.</w:t>
            </w:r>
          </w:p>
          <w:p w14:paraId="20DB830C"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(9) Yedinci ve sekizinci fıkralardaki indirimli oranlar, bu madde kapsamındaki diğer indirimler uygulandıktan sonraki kurumlar vergisi oranı üzerine uygulanır.”</w:t>
            </w:r>
          </w:p>
          <w:p w14:paraId="203F16B0"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16 – </w:t>
            </w:r>
            <w:r w:rsidRPr="00D14B06">
              <w:rPr>
                <w:rFonts w:eastAsia="Times New Roman" w:cs="Times New Roman"/>
                <w:sz w:val="18"/>
                <w:szCs w:val="18"/>
                <w:lang w:eastAsia="tr-TR"/>
              </w:rPr>
              <w:t>27/6/1989 tarihli ve 375 sayılı Kanun Hükmünde Kararnameye aşağıdaki geçici madde eklenmiştir.</w:t>
            </w:r>
          </w:p>
          <w:p w14:paraId="2F5621AD"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“GEÇİCİ MADDE 38 – 4688 sayılı Kanuna göre düzenlenen Kamu Görevlilerinin Geneline ve Hizmet Kollarına Yönelik Mali ve Sosyal Haklara İlişkin 2022 ve 2023 Yıllarını Kapsayan 6. Dönem Toplu Sözleşmenin İkinci Kısım Birinci Bölümünün 5 inci maddesinin birinci fıkrası uyarınca %5 artış oranı üzerinden belirlenmiş olan katsayılar, sözleşme ücreti artış oranları ve ücret tavanları ile 7 </w:t>
            </w:r>
            <w:proofErr w:type="spellStart"/>
            <w:r w:rsidRPr="00D14B06">
              <w:rPr>
                <w:rFonts w:eastAsia="Times New Roman" w:cs="Times New Roman"/>
                <w:sz w:val="18"/>
                <w:szCs w:val="18"/>
                <w:lang w:eastAsia="tr-TR"/>
              </w:rPr>
              <w:t>nci</w:t>
            </w:r>
            <w:proofErr w:type="spellEnd"/>
            <w:r w:rsidRPr="00D14B06">
              <w:rPr>
                <w:rFonts w:eastAsia="Times New Roman" w:cs="Times New Roman"/>
                <w:sz w:val="18"/>
                <w:szCs w:val="18"/>
                <w:lang w:eastAsia="tr-TR"/>
              </w:rPr>
              <w:t> maddesi uyarınca 2022 yılının birinci altı aylık dönemi için belirlenmiş olan ortalama ücret toplamı üst sınırı %7,5 oranına göre yeniden belirlenerek uygulanır. Aynı Bölümün 8 inci maddesinin birinci fıkrasının (b) bendinde yer alan %5 oranı %7,5 olarak uygulanır.”</w:t>
            </w:r>
          </w:p>
          <w:p w14:paraId="1656A51E"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17 –</w:t>
            </w:r>
            <w:r w:rsidRPr="00D14B06">
              <w:rPr>
                <w:rFonts w:eastAsia="Times New Roman" w:cs="Times New Roman"/>
                <w:sz w:val="18"/>
                <w:szCs w:val="18"/>
                <w:lang w:eastAsia="tr-TR"/>
              </w:rPr>
              <w:t> Bu Kanunun;</w:t>
            </w:r>
          </w:p>
          <w:p w14:paraId="15093D61"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 xml:space="preserve">a) </w:t>
            </w:r>
            <w:proofErr w:type="gramStart"/>
            <w:r w:rsidRPr="00D14B06">
              <w:rPr>
                <w:rFonts w:eastAsia="Times New Roman" w:cs="Times New Roman"/>
                <w:sz w:val="18"/>
                <w:szCs w:val="18"/>
                <w:lang w:eastAsia="tr-TR"/>
              </w:rPr>
              <w:t>12 </w:t>
            </w:r>
            <w:proofErr w:type="spellStart"/>
            <w:r w:rsidRPr="00D14B06">
              <w:rPr>
                <w:rFonts w:eastAsia="Times New Roman" w:cs="Times New Roman"/>
                <w:sz w:val="18"/>
                <w:szCs w:val="18"/>
                <w:lang w:eastAsia="tr-TR"/>
              </w:rPr>
              <w:t>nci</w:t>
            </w:r>
            <w:proofErr w:type="spellEnd"/>
            <w:proofErr w:type="gramEnd"/>
            <w:r w:rsidRPr="00D14B06">
              <w:rPr>
                <w:rFonts w:eastAsia="Times New Roman" w:cs="Times New Roman"/>
                <w:sz w:val="18"/>
                <w:szCs w:val="18"/>
                <w:lang w:eastAsia="tr-TR"/>
              </w:rPr>
              <w:t> maddesi 21/12/2021 tarihinden itibaren geçerli olmak üzere yayımı tarihinde,</w:t>
            </w:r>
          </w:p>
          <w:p w14:paraId="1E845EAC"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 xml:space="preserve">b) </w:t>
            </w:r>
            <w:proofErr w:type="gramStart"/>
            <w:r w:rsidRPr="00D14B06">
              <w:rPr>
                <w:rFonts w:eastAsia="Times New Roman" w:cs="Times New Roman"/>
                <w:sz w:val="18"/>
                <w:szCs w:val="18"/>
                <w:lang w:eastAsia="tr-TR"/>
              </w:rPr>
              <w:t>13 üncü</w:t>
            </w:r>
            <w:proofErr w:type="gramEnd"/>
            <w:r w:rsidRPr="00D14B06">
              <w:rPr>
                <w:rFonts w:eastAsia="Times New Roman" w:cs="Times New Roman"/>
                <w:sz w:val="18"/>
                <w:szCs w:val="18"/>
                <w:lang w:eastAsia="tr-TR"/>
              </w:rPr>
              <w:t xml:space="preserve"> maddesi 2022 yılı Ocak ayı ödeme döneminden itibaren uygulanmak üzere yayımı tarihinde,</w:t>
            </w:r>
          </w:p>
          <w:p w14:paraId="5730BB4F"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 xml:space="preserve">c) </w:t>
            </w:r>
            <w:proofErr w:type="gramStart"/>
            <w:r w:rsidRPr="00D14B06">
              <w:rPr>
                <w:rFonts w:eastAsia="Times New Roman" w:cs="Times New Roman"/>
                <w:sz w:val="18"/>
                <w:szCs w:val="18"/>
                <w:lang w:eastAsia="tr-TR"/>
              </w:rPr>
              <w:t>14 üncü</w:t>
            </w:r>
            <w:proofErr w:type="gramEnd"/>
            <w:r w:rsidRPr="00D14B06">
              <w:rPr>
                <w:rFonts w:eastAsia="Times New Roman" w:cs="Times New Roman"/>
                <w:sz w:val="18"/>
                <w:szCs w:val="18"/>
                <w:lang w:eastAsia="tr-TR"/>
              </w:rPr>
              <w:t xml:space="preserve"> ve 15 inci maddeleri 1/1/2022 tarihinden, özel hesap dönemine tabi olan mükelleflerde 2022 takvim yılında başlayan özel hesap döneminin başından itibaren elde edilen kazançlara uygulanmak üzere yayımı tarihinde,</w:t>
            </w:r>
          </w:p>
          <w:p w14:paraId="038EA2D7"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proofErr w:type="gramStart"/>
            <w:r w:rsidRPr="00D14B06">
              <w:rPr>
                <w:rFonts w:eastAsia="Times New Roman" w:cs="Times New Roman"/>
                <w:sz w:val="18"/>
                <w:szCs w:val="18"/>
                <w:lang w:eastAsia="tr-TR"/>
              </w:rPr>
              <w:t>ç</w:t>
            </w:r>
            <w:proofErr w:type="gramEnd"/>
            <w:r w:rsidRPr="00D14B06">
              <w:rPr>
                <w:rFonts w:eastAsia="Times New Roman" w:cs="Times New Roman"/>
                <w:sz w:val="18"/>
                <w:szCs w:val="18"/>
                <w:lang w:eastAsia="tr-TR"/>
              </w:rPr>
              <w:t>) 16 </w:t>
            </w:r>
            <w:proofErr w:type="spellStart"/>
            <w:r w:rsidRPr="00D14B06">
              <w:rPr>
                <w:rFonts w:eastAsia="Times New Roman" w:cs="Times New Roman"/>
                <w:sz w:val="18"/>
                <w:szCs w:val="18"/>
                <w:lang w:eastAsia="tr-TR"/>
              </w:rPr>
              <w:t>ncı</w:t>
            </w:r>
            <w:proofErr w:type="spellEnd"/>
            <w:r w:rsidRPr="00D14B06">
              <w:rPr>
                <w:rFonts w:eastAsia="Times New Roman" w:cs="Times New Roman"/>
                <w:sz w:val="18"/>
                <w:szCs w:val="18"/>
                <w:lang w:eastAsia="tr-TR"/>
              </w:rPr>
              <w:t> maddesi 1/1/2022 tarihinden itibaren geçerli olmak üzere yayımı tarihinde,</w:t>
            </w:r>
          </w:p>
          <w:p w14:paraId="1209BD1E"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sz w:val="18"/>
                <w:szCs w:val="18"/>
                <w:lang w:eastAsia="tr-TR"/>
              </w:rPr>
              <w:t>d) Diğer maddeleri yayımı tarihinde</w:t>
            </w:r>
          </w:p>
          <w:p w14:paraId="1AA8E56B"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proofErr w:type="gramStart"/>
            <w:r w:rsidRPr="00D14B06">
              <w:rPr>
                <w:rFonts w:eastAsia="Times New Roman" w:cs="Times New Roman"/>
                <w:sz w:val="18"/>
                <w:szCs w:val="18"/>
                <w:lang w:eastAsia="tr-TR"/>
              </w:rPr>
              <w:t>yürürlüğe</w:t>
            </w:r>
            <w:proofErr w:type="gramEnd"/>
            <w:r w:rsidRPr="00D14B06">
              <w:rPr>
                <w:rFonts w:eastAsia="Times New Roman" w:cs="Times New Roman"/>
                <w:sz w:val="18"/>
                <w:szCs w:val="18"/>
                <w:lang w:eastAsia="tr-TR"/>
              </w:rPr>
              <w:t> girer.</w:t>
            </w:r>
          </w:p>
          <w:p w14:paraId="5C75F237" w14:textId="77777777" w:rsidR="00A64CEA" w:rsidRPr="00D14B06" w:rsidRDefault="00A64CEA" w:rsidP="00A64CEA">
            <w:pPr>
              <w:spacing w:after="0" w:line="240" w:lineRule="atLeast"/>
              <w:ind w:firstLine="566"/>
              <w:jc w:val="both"/>
              <w:rPr>
                <w:rFonts w:eastAsia="Times New Roman" w:cs="Times New Roman"/>
                <w:sz w:val="19"/>
                <w:szCs w:val="19"/>
                <w:lang w:eastAsia="tr-TR"/>
              </w:rPr>
            </w:pPr>
            <w:r w:rsidRPr="00D14B06">
              <w:rPr>
                <w:rFonts w:eastAsia="Times New Roman" w:cs="Times New Roman"/>
                <w:b/>
                <w:bCs/>
                <w:sz w:val="18"/>
                <w:szCs w:val="18"/>
                <w:lang w:eastAsia="tr-TR"/>
              </w:rPr>
              <w:t>MADDE 18 – </w:t>
            </w:r>
            <w:r w:rsidRPr="00D14B06">
              <w:rPr>
                <w:rFonts w:eastAsia="Times New Roman" w:cs="Times New Roman"/>
                <w:sz w:val="18"/>
                <w:szCs w:val="18"/>
                <w:lang w:eastAsia="tr-TR"/>
              </w:rPr>
              <w:t>Bu Kanun hükümlerini Cumhurbaşkanı yürütür.</w:t>
            </w:r>
          </w:p>
          <w:p w14:paraId="33DA1899" w14:textId="77777777" w:rsidR="00A64CEA" w:rsidRPr="00A64CEA" w:rsidRDefault="00A64CEA" w:rsidP="00A64CEA">
            <w:pPr>
              <w:spacing w:after="0" w:line="240" w:lineRule="atLeast"/>
              <w:jc w:val="center"/>
              <w:rPr>
                <w:rFonts w:eastAsia="Times New Roman" w:cs="Times New Roman"/>
                <w:sz w:val="19"/>
                <w:szCs w:val="19"/>
                <w:lang w:eastAsia="tr-TR"/>
              </w:rPr>
            </w:pPr>
            <w:r w:rsidRPr="00D14B06">
              <w:rPr>
                <w:rFonts w:eastAsia="Times New Roman" w:cs="Times New Roman"/>
                <w:sz w:val="18"/>
                <w:szCs w:val="18"/>
                <w:lang w:eastAsia="tr-TR"/>
              </w:rPr>
              <w:t>21/1/2022</w:t>
            </w:r>
          </w:p>
        </w:tc>
      </w:tr>
    </w:tbl>
    <w:p w14:paraId="5EAC71BD"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EA"/>
    <w:rsid w:val="0000281C"/>
    <w:rsid w:val="00446D7F"/>
    <w:rsid w:val="005A5C9E"/>
    <w:rsid w:val="00A64CEA"/>
    <w:rsid w:val="00C263E5"/>
    <w:rsid w:val="00D14B06"/>
    <w:rsid w:val="00D65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9E6A"/>
  <w15:chartTrackingRefBased/>
  <w15:docId w15:val="{EB81083F-B667-4B62-8B8B-77C7047C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4CEA"/>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A64CEA"/>
  </w:style>
  <w:style w:type="paragraph" w:customStyle="1" w:styleId="ortabalkbold">
    <w:name w:val="ortabalkbold"/>
    <w:basedOn w:val="Normal"/>
    <w:rsid w:val="00A64CEA"/>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A64CEA"/>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A64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3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2470</Words>
  <Characters>14082</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Nexia</cp:lastModifiedBy>
  <cp:revision>2</cp:revision>
  <dcterms:created xsi:type="dcterms:W3CDTF">2022-01-24T08:34:00Z</dcterms:created>
  <dcterms:modified xsi:type="dcterms:W3CDTF">2022-01-24T08:34:00Z</dcterms:modified>
</cp:coreProperties>
</file>